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泉眼岭乡中心校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rPr>
      </w:pPr>
      <w:r>
        <w:rPr>
          <w:rFonts w:hint="eastAsia" w:ascii="仿宋" w:hAnsi="仿宋" w:eastAsia="仿宋"/>
          <w:sz w:val="32"/>
        </w:rPr>
        <w:t>一是全面贯彻落实党的教育方针政策，依法办学，依法治校，全面推进素质教育：二是坚持“以德为首，教育为主，育人为本”的“三为”办学原则；三是坚持社会主义办学方向，全面贯彻国家教育方针，执行国家教育部颁发的小学教学计划、各科课程标准，在教育行政部门的统一领导下组织实施教学工作；四是加强对教职工思想素质教育，学校对全体教职工实行聘任制，任课教师力争具备专科以上学历，同时具有小学教师资格；五是任课教师必须执行国家教育方针和教学计划，树立正确教育观、人才观和质量观，全面实施素质教育，教书育人，完成教育教学工作任务；六是抓好全校教职工的思想政治工作，形成全员育人风气，做到教书育人、管理育人、服务育人；七是培养学生能力，使学生能够努力学习，积极参加学校组织的各项活动，尊敬师长，团结同学，关心集体，热爱学校，使学生成为德、智、体、美、劳全面发展的优秀学生，真正达到教书育人的目的。</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val="en-US" w:eastAsia="zh-CN"/>
        </w:rPr>
        <w:t>泉眼岭乡中心校</w:t>
      </w:r>
      <w:r>
        <w:rPr>
          <w:rFonts w:hint="eastAsia"/>
          <w:sz w:val="32"/>
          <w:szCs w:val="32"/>
        </w:rPr>
        <w:t xml:space="preserve">内设 </w:t>
      </w:r>
      <w:r>
        <w:rPr>
          <w:rFonts w:hint="eastAsia"/>
          <w:sz w:val="32"/>
          <w:szCs w:val="32"/>
          <w:lang w:val="en-US" w:eastAsia="zh-CN"/>
        </w:rPr>
        <w:t>0</w:t>
      </w:r>
      <w:r>
        <w:rPr>
          <w:rFonts w:hint="eastAsia"/>
          <w:sz w:val="32"/>
          <w:szCs w:val="32"/>
        </w:rPr>
        <w:t>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  1067.05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1067.05   万元，其中：本年收入1067.05    万元，占 </w:t>
      </w:r>
      <w:r>
        <w:rPr>
          <w:rFonts w:hint="eastAsia" w:ascii="宋体"/>
          <w:sz w:val="32"/>
          <w:szCs w:val="32"/>
          <w:lang w:val="en-US" w:eastAsia="zh-CN"/>
        </w:rPr>
        <w:t>100</w:t>
      </w:r>
      <w:r>
        <w:rPr>
          <w:rFonts w:hint="eastAsia" w:ascii="宋体"/>
          <w:sz w:val="32"/>
          <w:szCs w:val="32"/>
        </w:rPr>
        <w:t xml:space="preserve">  %。本年收入中，一般公共预算拨款收入   1067.05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1067.05   万元，其中：基本支出1067.05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1067.05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  1067.05    万元，其中：一般公共预算拨款   1067.05    万元。支出包括：教育</w:t>
      </w:r>
      <w:r>
        <w:rPr>
          <w:rFonts w:hint="eastAsia" w:ascii="宋体"/>
          <w:sz w:val="32"/>
          <w:szCs w:val="32"/>
          <w:lang w:val="en-US" w:eastAsia="zh-CN"/>
        </w:rPr>
        <w:t>支出819.38万元，社会保障和就业132.83万元，卫生健康支出53.99，住房保障支出60.85。</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1067.05  万元，其中：基本支出  1067.05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1067.05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   1067.05  万元，其中：人员经费   1067.05  万元，主要包括：基本工资573.57</w:t>
      </w:r>
      <w:r>
        <w:rPr>
          <w:rFonts w:hint="eastAsia" w:ascii="宋体"/>
          <w:sz w:val="32"/>
          <w:szCs w:val="32"/>
          <w:lang w:val="en-US" w:eastAsia="zh-CN"/>
        </w:rPr>
        <w:t>万元</w:t>
      </w:r>
      <w:r>
        <w:rPr>
          <w:rFonts w:hint="eastAsia" w:ascii="宋体"/>
          <w:sz w:val="32"/>
          <w:szCs w:val="32"/>
        </w:rPr>
        <w:t xml:space="preserve">、津贴补贴245.81 </w:t>
      </w:r>
      <w:r>
        <w:rPr>
          <w:rFonts w:hint="eastAsia" w:ascii="宋体"/>
          <w:sz w:val="32"/>
          <w:szCs w:val="32"/>
          <w:lang w:val="en-US" w:eastAsia="zh-CN"/>
        </w:rPr>
        <w:t>万元</w:t>
      </w:r>
      <w:r>
        <w:rPr>
          <w:rFonts w:hint="eastAsia" w:ascii="宋体"/>
          <w:sz w:val="32"/>
          <w:szCs w:val="32"/>
        </w:rPr>
        <w:t>、机关事业单位基本养老保险缴费85.40</w:t>
      </w:r>
      <w:r>
        <w:rPr>
          <w:rFonts w:hint="eastAsia" w:ascii="宋体"/>
          <w:sz w:val="32"/>
          <w:szCs w:val="32"/>
          <w:lang w:val="en-US" w:eastAsia="zh-CN"/>
        </w:rPr>
        <w:t>万元</w:t>
      </w:r>
      <w:r>
        <w:rPr>
          <w:rFonts w:hint="eastAsia" w:ascii="宋体"/>
          <w:sz w:val="32"/>
          <w:szCs w:val="32"/>
        </w:rPr>
        <w:t>、</w:t>
      </w:r>
      <w:r>
        <w:rPr>
          <w:rFonts w:hint="eastAsia" w:ascii="宋体"/>
          <w:sz w:val="32"/>
          <w:szCs w:val="32"/>
          <w:lang w:val="en-US" w:eastAsia="zh-CN"/>
        </w:rPr>
        <w:t>职业年金缴费42.7万元、</w:t>
      </w:r>
      <w:r>
        <w:rPr>
          <w:rFonts w:hint="eastAsia" w:ascii="宋体"/>
          <w:sz w:val="32"/>
          <w:szCs w:val="32"/>
        </w:rPr>
        <w:t>职工基本医疗保险缴费53.99</w:t>
      </w:r>
      <w:r>
        <w:rPr>
          <w:rFonts w:hint="eastAsia" w:ascii="宋体"/>
          <w:sz w:val="32"/>
          <w:szCs w:val="32"/>
          <w:lang w:val="en-US" w:eastAsia="zh-CN"/>
        </w:rPr>
        <w:t>万元</w:t>
      </w:r>
      <w:r>
        <w:rPr>
          <w:rFonts w:hint="eastAsia" w:ascii="宋体"/>
          <w:sz w:val="32"/>
          <w:szCs w:val="32"/>
        </w:rPr>
        <w:t>、其他社会保障缴费4.73</w:t>
      </w:r>
      <w:r>
        <w:rPr>
          <w:rFonts w:hint="eastAsia" w:ascii="宋体"/>
          <w:sz w:val="32"/>
          <w:szCs w:val="32"/>
          <w:lang w:val="en-US" w:eastAsia="zh-CN"/>
        </w:rPr>
        <w:t>万元</w:t>
      </w:r>
      <w:r>
        <w:rPr>
          <w:rFonts w:hint="eastAsia" w:ascii="宋体"/>
          <w:sz w:val="32"/>
          <w:szCs w:val="32"/>
        </w:rPr>
        <w:t>、住房公积金60.85</w:t>
      </w:r>
      <w:r>
        <w:rPr>
          <w:rFonts w:hint="eastAsia" w:ascii="宋体"/>
          <w:sz w:val="32"/>
          <w:szCs w:val="32"/>
          <w:lang w:val="en-US" w:eastAsia="zh-CN"/>
        </w:rPr>
        <w:t>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val="en-US" w:eastAsia="zh-CN"/>
        </w:rPr>
        <w:t>无</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val="en-US" w:eastAsia="zh-CN"/>
        </w:rPr>
        <w:t>无。</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val="en-US" w:eastAsia="zh-CN"/>
        </w:rPr>
        <w:t>无。</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无</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val="en-US" w:eastAsia="zh-CN"/>
        </w:rPr>
        <w:t>无。</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bookmarkStart w:id="0" w:name="_GoBack"/>
      <w:bookmarkEnd w:id="0"/>
    </w:p>
    <w:p>
      <w:pPr>
        <w:tabs>
          <w:tab w:val="left" w:pos="710"/>
        </w:tabs>
        <w:rPr>
          <w:rFonts w:ascii="宋体"/>
          <w:sz w:val="32"/>
          <w:szCs w:val="32"/>
        </w:rPr>
      </w:pPr>
      <w:r>
        <w:rPr>
          <w:rFonts w:ascii="宋体"/>
          <w:sz w:val="32"/>
          <w:szCs w:val="32"/>
        </w:rPr>
        <w:tab/>
      </w:r>
      <w:r>
        <w:rPr>
          <w:rFonts w:hint="eastAsia" w:ascii="宋体"/>
          <w:sz w:val="32"/>
          <w:szCs w:val="32"/>
          <w:lang w:val="en-US" w:eastAsia="zh-CN"/>
        </w:rPr>
        <w:t>无。</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ZhNDY0Njg0ZDAwZGY5NDUwNGQ3MGJhZmJiOGE3ZWIifQ=="/>
  </w:docVars>
  <w:rsids>
    <w:rsidRoot w:val="00000000"/>
    <w:rsid w:val="20195B47"/>
    <w:rsid w:val="3328065D"/>
    <w:rsid w:val="33CA4250"/>
    <w:rsid w:val="465077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3365</Words>
  <Characters>3554</Characters>
  <Lines>25</Lines>
  <Paragraphs>7</Paragraphs>
  <TotalTime>3</TotalTime>
  <ScaleCrop>false</ScaleCrop>
  <LinksUpToDate>false</LinksUpToDate>
  <CharactersWithSpaces>4232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2022-09-07T02:43:15Z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162B7E68434B446B855D3330C2F6913F</vt:lpwstr>
  </property>
</Properties>
</file>